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before="0" w:after="80"/>
        <w:jc w:val="center"/>
      </w:pPr>
      <w:r>
        <w:rPr>
          <w:rFonts w:ascii="Arial" w:hAnsi="Arial" w:cs="Arial"/>
          <w:b/>
          <w:color w:val="1F4E79"/>
          <w:sz w:val="48"/>
          <w:rtl w:val="1"/>
          <w:cs w:val="1"/>
          <w:lang w:val="ar-DZ" w:bidi="ar-DZ"/>
        </w:rPr>
        <w:t>ECOLE ECOIN</w:t>
      </w:r>
    </w:p>
    <w:p>
      <w:pPr>
        <w:bidi w:val="1"/>
        <w:spacing w:before="0" w:after="80"/>
        <w:jc w:val="center"/>
      </w:pPr>
      <w:r>
        <w:rPr>
          <w:rFonts w:ascii="Arial" w:hAnsi="Arial" w:cs="Arial"/>
          <w:b/>
          <w:color w:val="0F172A"/>
          <w:sz w:val="44"/>
          <w:rtl w:val="1"/>
          <w:cs w:val="1"/>
          <w:lang w:val="ar-DZ" w:bidi="ar-DZ"/>
        </w:rPr>
        <w:t>دليل تجربة لوحة تحكم المؤسسات</w:t>
      </w:r>
    </w:p>
    <w:p>
      <w:pPr>
        <w:bidi w:val="1"/>
        <w:spacing w:before="0" w:after="80"/>
        <w:jc w:val="center"/>
      </w:pPr>
      <w:r>
        <w:rPr>
          <w:rFonts w:ascii="Arial" w:hAnsi="Arial" w:cs="Arial"/>
          <w:b w:val="0"/>
          <w:color w:val="64748B"/>
          <w:sz w:val="24"/>
          <w:rtl w:val="1"/>
          <w:cs w:val="1"/>
          <w:lang w:val="ar-DZ" w:bidi="ar-DZ"/>
        </w:rPr>
        <w:t>نسخة مصححة باتجاه عربي RTL وخط مناسب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الغرض من هذا الدليل هو تمكين فريق المدرسة من تجربة مسار المؤسسات كاملًا بطريقة منظمة، واكتشاف أي رابط مكسور أو تجربة غير واضحة قبل الاعتماد العملي.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قبل البدء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نفذ هذا الأمر مرة واحدة على بيئة التجربة أو staging فقط: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334155"/>
          <w:sz w:val="18"/>
          <w:rtl w:val="1"/>
          <w:cs w:val="1"/>
          <w:lang w:val="ar-DZ" w:bidi="ar-DZ"/>
        </w:rPr>
        <w:t>php artisan db:seed --class=CorporateWorkflowDemoSeeder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مهم: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لا تشغل هذا الـ seeder على production الحقيقي إلا إذا كان لديك نسخة تجريبية معزولة.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كل البيانات تحمل prefix واضح مثل `DEMO-PROP-*`, `DEMO-AGR-*`, `DEMO-INV-*`.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كلمة المرور التجريبية لكل الحسابات أدناه هي: `password`.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حسابات الدخول التجريبية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 w:val="1"/>
      </w:tblPr>
      <w:tblGrid>
        <w:gridCol w:w="3552"/>
        <w:gridCol w:w="3552"/>
        <w:gridCol w:w="3552"/>
      </w:tblGrid>
      <w:tr>
        <w:tc>
          <w:tcPr>
            <w:tcW w:type="dxa" w:w="3552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الحساب</w:t>
            </w:r>
          </w:p>
        </w:tc>
        <w:tc>
          <w:tcPr>
            <w:tcW w:type="dxa" w:w="3552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الدور</w:t>
            </w:r>
          </w:p>
        </w:tc>
        <w:tc>
          <w:tcPr>
            <w:tcW w:type="dxa" w:w="3552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الغرض من التجربة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`admin.demo@ecoin.test`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Admin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تجربة لوحة المؤسسات كاملة، كل الروابط، الفواتير، التقارير، المدفوعات.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`support.demo@ecoin.test`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Support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تجربة الصلاحيات المحدودة، المتابعة بدون صلاحيات مالية حساسة.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`teacher.demo@ecoin.test`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Teacher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تجربة رؤية فوج مؤسسة مسند للمدرب والحضور.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`org.member.demo@ecoin.test`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Organization member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تجربة بوابة المؤسسة ورؤية برامج/تقارير/فواتير المؤسسة فقط.</w:t>
            </w:r>
          </w:p>
        </w:tc>
      </w:tr>
    </w:tbl>
    <w:p/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روابط الدخول الأساسية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 w:val="1"/>
      </w:tblPr>
      <w:tblGrid>
        <w:gridCol w:w="5328"/>
        <w:gridCol w:w="5328"/>
      </w:tblGrid>
      <w:tr>
        <w:tc>
          <w:tcPr>
            <w:tcW w:type="dxa" w:w="5328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الصفحة</w:t>
            </w:r>
          </w:p>
        </w:tc>
        <w:tc>
          <w:tcPr>
            <w:tcW w:type="dxa" w:w="5328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الرابط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تسجيل الدخول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`/login`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صفحة المؤسسات العامة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`/corporate`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صفحة B2B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`/b2b`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لوحة تحكم المؤسسات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`/admin/corporate-dashboard`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طلبات المؤسسات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`/admin/b2b/leads`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المؤسسات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`/admin/organizations`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العروض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`/admin/corporate-proposals`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الاتفاقيات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`/admin/corporate-agreements`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أفواج المؤسسات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`/admin/corporate-cohorts`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تقارير المؤسسات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`/admin/corporate-reports`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فواتير المؤسسات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`/admin/corporate-invoices`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دفعات المؤسسات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`/admin/corporate-payments`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مستحقات المؤسسات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`/admin/corporate-finance/receivables`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الإشعارات الدائنة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`/admin/corporate-credit-notes`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بوابة المؤسسة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`/org/select` ثم `/org/dashboard`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برامج المؤسسة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`/org/programs`</w:t>
            </w:r>
          </w:p>
        </w:tc>
      </w:tr>
      <w:tr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تقارير المؤسسة</w:t>
            </w:r>
          </w:p>
        </w:tc>
        <w:tc>
          <w:tcPr>
            <w:tcW w:type="dxa" w:w="5328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`/org/reports`</w:t>
            </w:r>
          </w:p>
        </w:tc>
      </w:tr>
      <w:tr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فواتير المؤسسة</w:t>
            </w:r>
          </w:p>
        </w:tc>
        <w:tc>
          <w:tcPr>
            <w:tcW w:type="dxa" w:w="5328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`/org/invoices`</w:t>
            </w:r>
          </w:p>
        </w:tc>
      </w:tr>
    </w:tbl>
    <w:p/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سيناريوهات البيانات التجريبية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 w:val="1"/>
      </w:tblPr>
      <w:tblGrid>
        <w:gridCol w:w="3552"/>
        <w:gridCol w:w="3552"/>
        <w:gridCol w:w="3552"/>
      </w:tblGrid>
      <w:tr>
        <w:tc>
          <w:tcPr>
            <w:tcW w:type="dxa" w:w="3552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السيناريو</w:t>
            </w:r>
          </w:p>
        </w:tc>
        <w:tc>
          <w:tcPr>
            <w:tcW w:type="dxa" w:w="3552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المؤسسة</w:t>
            </w:r>
          </w:p>
        </w:tc>
        <w:tc>
          <w:tcPr>
            <w:tcW w:type="dxa" w:w="3552"/>
            <w:shd w:fill="1F4E79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/>
                <w:color w:val="FFFFFF"/>
                <w:sz w:val="18"/>
                <w:rtl w:val="1"/>
                <w:cs w:val="1"/>
                <w:lang w:val="ar-DZ" w:bidi="ar-DZ"/>
              </w:rPr>
              <w:t>ماذا يجب أن يظهر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Lead جديد فقط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مؤسسة النور للخدمات التعليمية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طلب جديد في قائمة B2B Leads.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Lead محوّل إلى مؤسسة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شركة الجزائر الرقمية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Organization نشطة وعضو بوابة مرتبط بها.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عرض مرسل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مؤسسة النجاح للتكوين المهني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Proposal بحالة sent مع عناصر مالية.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عرض محوّل إلى اتفاقية مسودة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مدرسة المستقبل الخاصة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Proposal converted + Agreement draft.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اتفاقية نشطة + فوج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مؤسسة الريادة الاقتصادية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Corporate Cohort + متدربين + سجلات حضور.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تقرير نهائي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شركة أوران للتقنيات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Report final_delivery generated مع PDF path خاص.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فاتورة + دفع + تخصيص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مؤسسة المتوسط للاستشارات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Invoice partially paid + Payment confirmed + Allocation.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فاتورة متأخرة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المجمع الإداري للجنوب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Invoice overdue تظهر في receivables aging.</w:t>
            </w:r>
          </w:p>
        </w:tc>
      </w:tr>
      <w:tr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Credit Note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شركة التعليم الذكي</w:t>
            </w:r>
          </w:p>
        </w:tc>
        <w:tc>
          <w:tcPr>
            <w:tcW w:type="dxa" w:w="3552"/>
            <w:shd w:fill="F8FAFC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Credit note applied وتعديل balance.</w:t>
            </w:r>
          </w:p>
        </w:tc>
      </w:tr>
      <w:tr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Allocation Reversal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مؤسسة الأفق للتدريب</w:t>
            </w:r>
          </w:p>
        </w:tc>
        <w:tc>
          <w:tcPr>
            <w:tcW w:type="dxa" w:w="3552"/>
            <w:vAlign w:val="center"/>
          </w:tcPr>
          <w:p>
            <w:pPr>
              <w:bidi w:val="1"/>
              <w:spacing w:after="0"/>
              <w:jc w:val="right"/>
            </w:pPr>
            <w:r/>
            <w:r>
              <w:rPr>
                <w:rFonts w:ascii="Arial" w:hAnsi="Arial" w:cs="Arial"/>
                <w:b w:val="0"/>
                <w:color w:val="0F172A"/>
                <w:sz w:val="18"/>
                <w:rtl w:val="1"/>
                <w:cs w:val="1"/>
                <w:lang w:val="ar-DZ" w:bidi="ar-DZ"/>
              </w:rPr>
              <w:t>تخصيص معكوس وtransaction سلبي.</w:t>
            </w:r>
          </w:p>
        </w:tc>
      </w:tr>
    </w:tbl>
    <w:p/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خطة تجربة Admin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سجل الدخول بـ: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`admin.demo@ecoin.test` / `password`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1. افتح `/admin/corporate-dashboard`.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2. تأكد أن البطاقات تعرض بيانات في: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Leads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Proposals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Agreements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Corporate Cohorts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Finance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Alerts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3. من القائمة الجانبية افتح كل رابط Corporate وتأكد أن الصفحة لا تعطي 404 أو 500: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طلبات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عروض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اتفاقيات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أفواج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تقارير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فواتير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دفعات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الإشعارات الدائنة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مستحقات المؤسسات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4. افتح `/admin/organizations`.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5. اختر مؤسسة مثل `مؤسسة المتوسط للاستشارات`.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6. تأكد أن صفحة المؤسسة تعرض: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الأعضاء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العروض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الاتفاقيات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الأفواج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التقارير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الفواتير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المدفوعات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7. افتح فاتورة `DEMO-INV-007`.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8. تأكد من وضوح: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المبلغ الإجمالي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المدفوع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المتبقي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allocations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9. افتح `/admin/corporate-finance/receivables`.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10. تأكد أن الفاتورة المتأخرة الخاصة بـ `المجمع الإداري للجنوب` تظهر ضمن المستحقات.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خطة تجربة Support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سجل الدخول بـ: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`support.demo@ecoin.test` / `password`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اختبر الآتي: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1. افتح `/admin/b2b/leads`.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2. تأكد أن support يستطيع رؤية طلبات المؤسسات.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3. افتح `/admin/corporate-dashboard`.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4. يجب ألا تظهر التفاصيل المالية الحساسة إذا لا يملك صلاحية `corporate_finance.view`.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5. جرّب فتح صفحات مالية حساسة مثل: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`/admin/corporate-payments`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`/admin/corporate-finance/receivables`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6. سجل هل النظام يمنع الوصول أو يخفي التفاصيل حسب الصلاحيات.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خطة تجربة Teacher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سجل الدخول بـ: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`teacher.demo@ecoin.test` / `password`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اختبر الآتي: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1. افتح لوحة الأستاذ.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2. تأكد أن الفوج المرتبط بالمؤسسات يظهر للمدرب.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3. افتح تفاصيل الفوج إن وجدت.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4. تحقق من: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جدول الحصص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حضور/غياب المتدربين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- عدم ظهور أفواج غير مسندة له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خطة تجربة Org Member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سجل الدخول بـ: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`org.member.demo@ecoin.test` / `password`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1. افتح `/org/select`.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2. اختر المؤسسة المتاحة.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3. افتح `/org/programs`.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4. تأكد أن برامج المؤسسة فقط تظهر.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5. افتح `/org/reports`.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6. تأكد أن التقارير الخاصة بالمؤسسة فقط تظهر.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7. افتح `/org/invoices`.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8. تأكد أن الفواتير الخاصة بالمؤسسة فقط تظهر.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9. تأكد أن فواتير مؤسسات أخرى مثل `DEMO-INV-008` أو `DEMO-INV-009` لا تظهر إذا لم تكن لنفس المؤسسة.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اختبار الروابط المكسورة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أثناء التجربة، أي زر أو رابط يجب أن يكون واحدًا من هذه الحالات: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يفتح صفحة صحيحة.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ينفذ action واضح.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يظهر disabled مع سبب واضح.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يجب تسجيل أي حالة من الآتي: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رابط يعطي 404.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رابط يعطي 500.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زر لا يفعل شيئًا.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زر `#` بدون وظيفة.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صفحة فيها مفتاح ترجمة ظاهر مثل `corporate.xxx`.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صفحة تعرض بيانات مؤسسة أخرى لمستخدم المؤسسة.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نموذج إرسال الملاحظات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عند العثور على مشكلة، أرسلها بهذا الشكل: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334155"/>
          <w:sz w:val="18"/>
          <w:rtl w:val="1"/>
          <w:cs w:val="1"/>
          <w:lang w:val="ar-DZ" w:bidi="ar-DZ"/>
        </w:rPr>
        <w:t>الحساب المستخدم:</w:t>
        <w:br/>
        <w:t>الرابط:</w:t>
        <w:br/>
        <w:t>الخطوة التي قمت بها:</w:t>
        <w:br/>
        <w:t>ما الذي توقعت حدوثه:</w:t>
        <w:br/>
        <w:t>ما الذي حدث فعليًا:</w:t>
        <w:br/>
        <w:t>رسالة الخطأ إن وجدت:</w:t>
        <w:br/>
        <w:t>صورة شاشة:</w:t>
        <w:br/>
        <w:t>درجة الأهمية: منخفضة / متوسطة / عالية / تمنع العمل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قائمة قبول سريعة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اعتبر التجربة ناجحة إذا: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لوحة `/admin/corporate-dashboard` تعمل وتعرض بيانات مفهومة.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كل روابط Corporate في القائمة الجانبية تعمل.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Admin يرى كل المسار.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Support لا يرى ما لا يملك صلاحية له.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Teacher لا يرى إلا أفواجه.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Org member لا يرى إلا بيانات مؤسسته.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لا تظهر raw translation keys.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لا توجد أخطاء 404/500 في الصفحات الأساسية.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الفواتير والمدفوعات والمستحقات تعرض أرقامًا منطقية.</w:t>
      </w:r>
    </w:p>
    <w:p>
      <w:pPr>
        <w:bidi w:val="1"/>
        <w:spacing w:before="160" w:after="120"/>
        <w:jc w:val="right"/>
      </w:pPr>
      <w:r>
        <w:rPr>
          <w:rFonts w:ascii="Arial" w:hAnsi="Arial" w:cs="Arial"/>
          <w:b/>
          <w:color w:val="2563EB"/>
          <w:sz w:val="30"/>
          <w:rtl w:val="1"/>
          <w:cs w:val="1"/>
          <w:lang w:val="ar-DZ" w:bidi="ar-DZ"/>
        </w:rPr>
        <w:t>أوامر تحقق للمطور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بعد تجربة الفريق، يمكن للمطور تشغيل: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334155"/>
          <w:sz w:val="18"/>
          <w:rtl w:val="1"/>
          <w:cs w:val="1"/>
          <w:lang w:val="ar-DZ" w:bidi="ar-DZ"/>
        </w:rPr>
        <w:t>php artisan test tests/Feature/Corporate/CorporateLinksSmokeTest.php tests/Feature/Corporate/CorporateWorkflowDemoSeederTest.php tests/Feature/Corporate/CorporateDashboardWithSeedDataTest.php tests/Feature/Corporate/OrgPortalSeedDataTest.php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2"/>
          <w:rtl w:val="1"/>
          <w:cs w:val="1"/>
          <w:lang w:val="ar-DZ" w:bidi="ar-DZ"/>
        </w:rPr>
        <w:t>النتيجة المتوقعة: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`5 passed`</w:t>
      </w:r>
    </w:p>
    <w:p>
      <w:pPr>
        <w:bidi w:val="1"/>
        <w:spacing w:before="0" w:after="80"/>
        <w:jc w:val="right"/>
      </w:pPr>
      <w:r>
        <w:rPr>
          <w:rFonts w:ascii="Arial" w:hAnsi="Arial" w:cs="Arial"/>
          <w:b w:val="0"/>
          <w:color w:val="0F172A"/>
          <w:sz w:val="21"/>
          <w:rtl w:val="1"/>
          <w:cs w:val="1"/>
          <w:lang w:val="ar-DZ" w:bidi="ar-DZ"/>
        </w:rPr>
        <w:t>• `75 assertions`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mirrorMargins w:val="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cs="Arial"/>
      <w:b/>
      <w:bCs/>
      <w:color w:val="365F91" w:themeColor="accent1" w:themeShade="BF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cs="Arial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cs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